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5EEB2">
      <w:pPr>
        <w:rPr>
          <w:rFonts w:hint="eastAsia" w:ascii="仿宋_GB2312" w:hAnsi="仿宋_GB2312" w:eastAsia="仿宋_GB2312" w:cs="仿宋_GB2312"/>
        </w:rPr>
      </w:pPr>
    </w:p>
    <w:p w14:paraId="2618F14F">
      <w:pPr>
        <w:spacing w:before="4500"/>
        <w:rPr>
          <w:rFonts w:hint="eastAsia" w:ascii="仿宋_GB2312" w:hAnsi="仿宋_GB2312" w:eastAsia="仿宋_GB2312" w:cs="仿宋_GB2312"/>
        </w:rPr>
      </w:pPr>
    </w:p>
    <w:p w14:paraId="00E52507">
      <w:pPr>
        <w:spacing w:after="200"/>
        <w:ind w:left="1200" w:right="1200"/>
        <w:jc w:val="center"/>
        <w:rPr>
          <w:rFonts w:hint="eastAsia" w:ascii="仿宋_GB2312" w:hAnsi="仿宋_GB2312" w:eastAsia="仿宋_GB2312" w:cs="仿宋_GB2312"/>
        </w:rPr>
      </w:pPr>
      <w:r>
        <w:rPr>
          <w:rFonts w:hint="eastAsia" w:ascii="仿宋_GB2312" w:hAnsi="仿宋_GB2312" w:eastAsia="仿宋_GB2312" w:cs="仿宋_GB2312"/>
          <w:b/>
          <w:color w:val="2A3F5F"/>
          <w:spacing w:val="40"/>
          <w:sz w:val="72"/>
        </w:rPr>
        <w:t>商丘学院</w:t>
      </w:r>
    </w:p>
    <w:p w14:paraId="64D9A3AE">
      <w:pPr>
        <w:spacing w:after="3000"/>
        <w:ind w:left="1200" w:right="120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20"/>
          <w:sz w:val="44"/>
        </w:rPr>
        <w:t>艺术教育发展年度报告</w:t>
      </w:r>
    </w:p>
    <w:p w14:paraId="24BB7B3C">
      <w:pPr>
        <w:rPr>
          <w:rFonts w:hint="eastAsia" w:ascii="仿宋_GB2312" w:hAnsi="仿宋_GB2312" w:eastAsia="仿宋_GB2312" w:cs="仿宋_GB2312"/>
        </w:rPr>
        <w:sectPr>
          <w:pgSz w:w="11906" w:h="16838"/>
          <w:pgMar w:top="0" w:right="0" w:bottom="0" w:left="0" w:header="0" w:footer="0" w:gutter="0"/>
          <w:cols w:space="720" w:num="1"/>
          <w:titlePg/>
        </w:sectPr>
      </w:pPr>
    </w:p>
    <w:p w14:paraId="4FA916D2">
      <w:pPr>
        <w:spacing w:before="600" w:after="200"/>
        <w:ind w:firstLine="0"/>
        <w:jc w:val="center"/>
        <w:rPr>
          <w:rFonts w:hint="eastAsia" w:ascii="仿宋_GB2312" w:hAnsi="仿宋_GB2312" w:eastAsia="仿宋_GB2312" w:cs="仿宋_GB2312"/>
        </w:rPr>
      </w:pPr>
      <w:r>
        <w:rPr>
          <w:rFonts w:hint="eastAsia" w:ascii="仿宋_GB2312" w:hAnsi="仿宋_GB2312" w:eastAsia="仿宋_GB2312" w:cs="仿宋_GB2312"/>
          <w:b/>
          <w:color w:val="2A3F5F"/>
          <w:sz w:val="36"/>
        </w:rPr>
        <w:t>目  录</w:t>
      </w:r>
    </w:p>
    <w:p w14:paraId="0D412B46">
      <w:pPr>
        <w:pStyle w:val="9"/>
        <w:tabs>
          <w:tab w:val="right" w:leader="dot" w:pos="9026"/>
          <w:tab w:val="clear" w:pos="9350"/>
        </w:tabs>
        <w:spacing w:line="240" w:lineRule="auto"/>
        <w:rPr>
          <w:rFonts w:hint="eastAsia" w:ascii="仿宋_GB2312" w:hAnsi="仿宋_GB2312" w:eastAsia="仿宋_GB2312" w:cs="仿宋_GB2312"/>
          <w:color w:val="auto"/>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TOC \o "1-3" \h \z \u </w:instrText>
      </w:r>
      <w:r>
        <w:rPr>
          <w:rFonts w:hint="eastAsia" w:ascii="仿宋_GB2312" w:hAnsi="仿宋_GB2312" w:eastAsia="仿宋_GB2312" w:cs="仿宋_GB2312"/>
        </w:rPr>
        <w:fldChar w:fldCharType="separate"/>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_Toc6142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一、前言</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_Toc6142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14:paraId="22662DD4">
      <w:pPr>
        <w:pStyle w:val="9"/>
        <w:tabs>
          <w:tab w:val="right" w:leader="dot" w:pos="9026"/>
          <w:tab w:val="clear" w:pos="9350"/>
        </w:tabs>
        <w:spacing w:line="240" w:lineRule="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_Toc30245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二、2025年度发展现状</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_Toc30245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14:paraId="6B3693F6">
      <w:pPr>
        <w:pStyle w:val="10"/>
        <w:tabs>
          <w:tab w:val="right" w:leader="dot" w:pos="9026"/>
          <w:tab w:val="clear" w:pos="9350"/>
        </w:tabs>
        <w:spacing w:line="240" w:lineRule="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_Toc13150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（一）课程体系建设</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_Toc13150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14:paraId="172764B8">
      <w:pPr>
        <w:pStyle w:val="10"/>
        <w:tabs>
          <w:tab w:val="right" w:leader="dot" w:pos="9026"/>
          <w:tab w:val="clear" w:pos="9350"/>
        </w:tabs>
        <w:spacing w:line="240" w:lineRule="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_Toc20376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（二）师资队伍与教师发展</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_Toc20376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14:paraId="7132D409">
      <w:pPr>
        <w:pStyle w:val="10"/>
        <w:tabs>
          <w:tab w:val="right" w:leader="dot" w:pos="9026"/>
          <w:tab w:val="clear" w:pos="9350"/>
        </w:tabs>
        <w:spacing w:line="240" w:lineRule="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_Toc14685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（三）科研与教研成果</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_Toc14685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2</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14:paraId="5BFE0425">
      <w:pPr>
        <w:pStyle w:val="10"/>
        <w:tabs>
          <w:tab w:val="right" w:leader="dot" w:pos="9026"/>
          <w:tab w:val="clear" w:pos="9350"/>
        </w:tabs>
        <w:spacing w:line="240" w:lineRule="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_Toc29362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（四）艺术实践与美育活动</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_Toc29362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2</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14:paraId="6FCCB698">
      <w:pPr>
        <w:pStyle w:val="10"/>
        <w:tabs>
          <w:tab w:val="right" w:leader="dot" w:pos="9026"/>
          <w:tab w:val="clear" w:pos="9350"/>
        </w:tabs>
        <w:spacing w:line="240" w:lineRule="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_Toc11319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（五）学生竞赛获奖情况</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_Toc11319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2</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14:paraId="1DE80AC8">
      <w:pPr>
        <w:pStyle w:val="10"/>
        <w:tabs>
          <w:tab w:val="right" w:leader="dot" w:pos="9026"/>
          <w:tab w:val="clear" w:pos="9350"/>
        </w:tabs>
        <w:spacing w:line="240" w:lineRule="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_Toc13001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（六）条件保障与特色发展</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_Toc13001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2</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14:paraId="4960C24F">
      <w:pPr>
        <w:pStyle w:val="9"/>
        <w:tabs>
          <w:tab w:val="right" w:leader="dot" w:pos="9026"/>
          <w:tab w:val="clear" w:pos="9350"/>
        </w:tabs>
        <w:spacing w:line="240" w:lineRule="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_Toc6818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三、2026年发展规划</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_Toc6818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3</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14:paraId="32B319B7">
      <w:pPr>
        <w:pStyle w:val="10"/>
        <w:tabs>
          <w:tab w:val="right" w:leader="dot" w:pos="9026"/>
          <w:tab w:val="clear" w:pos="9350"/>
        </w:tabs>
        <w:spacing w:line="240" w:lineRule="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_Toc29082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（一）总体目标</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_Toc29082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3</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14:paraId="5945FDE5">
      <w:pPr>
        <w:pStyle w:val="10"/>
        <w:tabs>
          <w:tab w:val="right" w:leader="dot" w:pos="9026"/>
          <w:tab w:val="clear" w:pos="9350"/>
        </w:tabs>
        <w:spacing w:line="240" w:lineRule="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_Toc32151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（二）重点任务</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_Toc32151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3</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14:paraId="1EF39B22">
      <w:pPr>
        <w:pStyle w:val="6"/>
        <w:tabs>
          <w:tab w:val="right" w:leader="dot" w:pos="9026"/>
          <w:tab w:val="clear" w:pos="9350"/>
        </w:tabs>
        <w:spacing w:line="240" w:lineRule="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_Toc12710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 课程提质：打造精品，提升内涵</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_Toc12710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3</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14:paraId="06E4869D">
      <w:pPr>
        <w:pStyle w:val="6"/>
        <w:tabs>
          <w:tab w:val="right" w:leader="dot" w:pos="9026"/>
          <w:tab w:val="clear" w:pos="9350"/>
        </w:tabs>
        <w:spacing w:line="240" w:lineRule="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_Toc11604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2. 师资补强：引育并举，优化结构</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_Toc11604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4</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14:paraId="7FA7CD69">
      <w:pPr>
        <w:pStyle w:val="6"/>
        <w:tabs>
          <w:tab w:val="right" w:leader="dot" w:pos="9026"/>
          <w:tab w:val="clear" w:pos="9350"/>
        </w:tabs>
        <w:spacing w:line="240" w:lineRule="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_Toc21227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3. 数字赋能：技术融合，资源共建</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_Toc21227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4</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14:paraId="7923FA8D">
      <w:pPr>
        <w:pStyle w:val="6"/>
        <w:tabs>
          <w:tab w:val="right" w:leader="dot" w:pos="9026"/>
          <w:tab w:val="clear" w:pos="9350"/>
        </w:tabs>
        <w:spacing w:line="240" w:lineRule="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_Toc14259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4. 品牌塑造：深耕地域，彰显特色</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_Toc14259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4</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14:paraId="27ED4446">
      <w:pPr>
        <w:pStyle w:val="6"/>
        <w:tabs>
          <w:tab w:val="right" w:leader="dot" w:pos="9026"/>
          <w:tab w:val="clear" w:pos="9350"/>
        </w:tabs>
        <w:spacing w:line="240" w:lineRule="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_Toc27236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5. 评价改革：科学评价，以评促教</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_Toc27236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4</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14:paraId="714BFA4B">
      <w:pPr>
        <w:pStyle w:val="10"/>
        <w:tabs>
          <w:tab w:val="right" w:leader="dot" w:pos="9026"/>
          <w:tab w:val="clear" w:pos="9350"/>
        </w:tabs>
        <w:spacing w:line="240" w:lineRule="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_Toc18980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（三）保障措施</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_Toc18980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5</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14:paraId="24E7E3FB">
      <w:pPr>
        <w:pStyle w:val="6"/>
        <w:tabs>
          <w:tab w:val="right" w:leader="dot" w:pos="9026"/>
          <w:tab w:val="clear" w:pos="9350"/>
        </w:tabs>
        <w:spacing w:line="240" w:lineRule="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_Toc12959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1. 组织保障</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_Toc12959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5</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14:paraId="6D46B3ED">
      <w:pPr>
        <w:pStyle w:val="6"/>
        <w:tabs>
          <w:tab w:val="right" w:leader="dot" w:pos="9026"/>
          <w:tab w:val="clear" w:pos="9350"/>
        </w:tabs>
        <w:spacing w:line="240" w:lineRule="auto"/>
        <w:rPr>
          <w:rFonts w:hint="eastAsia" w:ascii="仿宋_GB2312" w:hAnsi="仿宋_GB2312" w:eastAsia="仿宋_GB2312" w:cs="仿宋_GB2312"/>
          <w:color w:val="auto"/>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_Toc21616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2. 经费保障</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_Toc21616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5</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14:paraId="7851ECFA">
      <w:pPr>
        <w:pStyle w:val="6"/>
        <w:tabs>
          <w:tab w:val="right" w:leader="dot" w:pos="9026"/>
          <w:tab w:val="clear" w:pos="9350"/>
        </w:tabs>
        <w:spacing w:line="240" w:lineRule="auto"/>
        <w:rPr>
          <w:rFonts w:hint="eastAsia" w:ascii="仿宋_GB2312" w:hAnsi="仿宋_GB2312" w:eastAsia="仿宋_GB2312" w:cs="仿宋_GB2312"/>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_Toc17894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3. 制度保障</w:t>
      </w:r>
      <w:r>
        <w:rPr>
          <w:rFonts w:hint="eastAsia" w:ascii="仿宋_GB2312" w:hAnsi="仿宋_GB2312" w:eastAsia="仿宋_GB2312" w:cs="仿宋_GB2312"/>
          <w:color w:val="auto"/>
        </w:rPr>
        <w:tab/>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PAGEREF _Toc17894 \h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rPr>
        <w:t>5</w:t>
      </w:r>
      <w:r>
        <w:rPr>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fldChar w:fldCharType="end"/>
      </w:r>
    </w:p>
    <w:p w14:paraId="5172FF77">
      <w:pPr>
        <w:rPr>
          <w:rFonts w:hint="eastAsia" w:ascii="仿宋_GB2312" w:hAnsi="仿宋_GB2312" w:eastAsia="仿宋_GB2312" w:cs="仿宋_GB2312"/>
        </w:rPr>
      </w:pPr>
      <w:r>
        <w:rPr>
          <w:rFonts w:hint="eastAsia" w:ascii="仿宋_GB2312" w:hAnsi="仿宋_GB2312" w:eastAsia="仿宋_GB2312" w:cs="仿宋_GB2312"/>
        </w:rPr>
        <w:fldChar w:fldCharType="end"/>
      </w:r>
    </w:p>
    <w:p w14:paraId="1814A230">
      <w:pPr>
        <w:rPr>
          <w:rFonts w:hint="eastAsia" w:ascii="仿宋_GB2312" w:hAnsi="仿宋_GB2312" w:eastAsia="仿宋_GB2312" w:cs="仿宋_GB2312"/>
        </w:rPr>
        <w:sectPr>
          <w:pgSz w:w="11906" w:h="16838"/>
          <w:pgMar w:top="1800" w:right="1440" w:bottom="1440" w:left="1440" w:header="720" w:footer="720" w:gutter="0"/>
          <w:cols w:space="720" w:num="1"/>
        </w:sectPr>
      </w:pPr>
    </w:p>
    <w:p w14:paraId="58A4D453">
      <w:pPr>
        <w:pStyle w:val="2"/>
        <w:outlineLvl w:val="0"/>
        <w:rPr>
          <w:rFonts w:hint="eastAsia" w:ascii="仿宋_GB2312" w:hAnsi="仿宋_GB2312" w:eastAsia="仿宋_GB2312" w:cs="仿宋_GB2312"/>
        </w:rPr>
      </w:pPr>
      <w:bookmarkStart w:id="0" w:name="_Toc6142"/>
      <w:r>
        <w:rPr>
          <w:rFonts w:hint="eastAsia" w:ascii="仿宋_GB2312" w:hAnsi="仿宋_GB2312" w:eastAsia="仿宋_GB2312" w:cs="仿宋_GB2312"/>
        </w:rPr>
        <w:t>一、前言</w:t>
      </w:r>
      <w:bookmarkEnd w:id="0"/>
      <w:bookmarkStart w:id="1" w:name="_Toc001"/>
      <w:bookmarkEnd w:id="1"/>
    </w:p>
    <w:p w14:paraId="075BA811">
      <w:pPr>
        <w:jc w:val="both"/>
        <w:rPr>
          <w:rFonts w:hint="eastAsia" w:ascii="仿宋_GB2312" w:hAnsi="仿宋_GB2312" w:eastAsia="仿宋_GB2312" w:cs="仿宋_GB2312"/>
        </w:rPr>
      </w:pPr>
      <w:r>
        <w:rPr>
          <w:rFonts w:hint="eastAsia" w:ascii="仿宋_GB2312" w:hAnsi="仿宋_GB2312" w:eastAsia="仿宋_GB2312" w:cs="仿宋_GB2312"/>
        </w:rPr>
        <w:t>2025年度，商丘学院深入贯彻《关于全面加强和改进新时代学校美育工作的意见》及《高等学校公共艺术课程指导纲要》精神，紧紧围绕“以美育人、以文化人”根本任务，持续深化艺术教育教学改革，在课程建设、师资培养、科研创新、艺术实践、特色品牌打造等方面取得积极成效。本报告系统梳理2025年度艺术教育发展现状，并提出2026年发展规划。</w:t>
      </w:r>
    </w:p>
    <w:p w14:paraId="376EBDC3">
      <w:pPr>
        <w:pStyle w:val="2"/>
        <w:outlineLvl w:val="0"/>
        <w:rPr>
          <w:rFonts w:hint="eastAsia" w:ascii="仿宋_GB2312" w:hAnsi="仿宋_GB2312" w:eastAsia="仿宋_GB2312" w:cs="仿宋_GB2312"/>
        </w:rPr>
      </w:pPr>
      <w:bookmarkStart w:id="2" w:name="_Toc30245"/>
      <w:r>
        <w:rPr>
          <w:rFonts w:hint="eastAsia" w:ascii="仿宋_GB2312" w:hAnsi="仿宋_GB2312" w:eastAsia="仿宋_GB2312" w:cs="仿宋_GB2312"/>
        </w:rPr>
        <w:t>二、2025年度发展现状</w:t>
      </w:r>
      <w:bookmarkEnd w:id="2"/>
      <w:bookmarkStart w:id="3" w:name="_Toc002"/>
      <w:bookmarkEnd w:id="3"/>
    </w:p>
    <w:p w14:paraId="04CCCB50">
      <w:pPr>
        <w:pStyle w:val="3"/>
        <w:outlineLvl w:val="1"/>
        <w:rPr>
          <w:rFonts w:hint="eastAsia" w:ascii="仿宋_GB2312" w:hAnsi="仿宋_GB2312" w:eastAsia="仿宋_GB2312" w:cs="仿宋_GB2312"/>
        </w:rPr>
      </w:pPr>
      <w:bookmarkStart w:id="4" w:name="_Toc13150"/>
      <w:r>
        <w:rPr>
          <w:rFonts w:hint="eastAsia" w:ascii="仿宋_GB2312" w:hAnsi="仿宋_GB2312" w:eastAsia="仿宋_GB2312" w:cs="仿宋_GB2312"/>
        </w:rPr>
        <w:t>（一）课程体系建设</w:t>
      </w:r>
      <w:bookmarkEnd w:id="4"/>
    </w:p>
    <w:p w14:paraId="433D6035">
      <w:pPr>
        <w:jc w:val="both"/>
        <w:rPr>
          <w:rFonts w:hint="eastAsia" w:ascii="仿宋_GB2312" w:hAnsi="仿宋_GB2312" w:eastAsia="仿宋_GB2312" w:cs="仿宋_GB2312"/>
        </w:rPr>
      </w:pPr>
      <w:r>
        <w:rPr>
          <w:rFonts w:hint="eastAsia" w:ascii="仿宋_GB2312" w:hAnsi="仿宋_GB2312" w:eastAsia="仿宋_GB2312" w:cs="仿宋_GB2312"/>
          <w:lang w:eastAsia="zh-CN"/>
        </w:rPr>
        <w:t>商丘学院艺术与传媒学院</w:t>
      </w:r>
      <w:r>
        <w:rPr>
          <w:rFonts w:hint="eastAsia" w:ascii="仿宋_GB2312" w:hAnsi="仿宋_GB2312" w:eastAsia="仿宋_GB2312" w:cs="仿宋_GB2312"/>
        </w:rPr>
        <w:t>围绕“审美素养+文化理解+艺术实践”三维育人目标，构建了覆盖美学理论、艺术鉴赏、艺术实践、非遗传承四大板块的模块化课程体系。本年度开设涵盖音乐、美术、设计、舞蹈、戏剧、影视、书法、戏曲、非遗等多个艺术门类</w:t>
      </w:r>
      <w:r>
        <w:rPr>
          <w:rFonts w:hint="eastAsia" w:ascii="仿宋_GB2312" w:hAnsi="仿宋_GB2312" w:eastAsia="仿宋_GB2312" w:cs="仿宋_GB2312"/>
          <w:lang w:val="en-US" w:eastAsia="zh-CN"/>
        </w:rPr>
        <w:t>的课程，</w:t>
      </w:r>
      <w:r>
        <w:rPr>
          <w:rFonts w:hint="eastAsia" w:ascii="仿宋_GB2312" w:hAnsi="仿宋_GB2312" w:eastAsia="仿宋_GB2312" w:cs="仿宋_GB2312"/>
        </w:rPr>
        <w:t>严格落实艺术</w:t>
      </w:r>
      <w:r>
        <w:rPr>
          <w:rFonts w:hint="eastAsia" w:ascii="仿宋_GB2312" w:hAnsi="仿宋_GB2312" w:eastAsia="仿宋_GB2312" w:cs="仿宋_GB2312"/>
          <w:lang w:val="en-US" w:eastAsia="zh-CN"/>
        </w:rPr>
        <w:t>教育</w:t>
      </w:r>
      <w:r>
        <w:rPr>
          <w:rFonts w:hint="eastAsia" w:ascii="仿宋_GB2312" w:hAnsi="仿宋_GB2312" w:eastAsia="仿宋_GB2312" w:cs="仿宋_GB2312"/>
        </w:rPr>
        <w:t>课程学分的修读要求，构建了“理论+实践”双轨并行的课程格局。</w:t>
      </w:r>
    </w:p>
    <w:p w14:paraId="2D8173E6">
      <w:pPr>
        <w:pStyle w:val="3"/>
        <w:rPr>
          <w:rFonts w:hint="eastAsia" w:ascii="仿宋_GB2312" w:hAnsi="仿宋_GB2312" w:eastAsia="仿宋_GB2312" w:cs="仿宋_GB2312"/>
        </w:rPr>
      </w:pPr>
      <w:bookmarkStart w:id="5" w:name="_Toc20376"/>
      <w:r>
        <w:rPr>
          <w:rFonts w:hint="eastAsia" w:ascii="仿宋_GB2312" w:hAnsi="仿宋_GB2312" w:eastAsia="仿宋_GB2312" w:cs="仿宋_GB2312"/>
        </w:rPr>
        <w:t>（二）师资队伍与教师发展</w:t>
      </w:r>
      <w:bookmarkEnd w:id="5"/>
    </w:p>
    <w:p w14:paraId="0E7F06A6">
      <w:pPr>
        <w:jc w:val="both"/>
        <w:rPr>
          <w:rFonts w:hint="eastAsia" w:ascii="仿宋_GB2312" w:hAnsi="仿宋_GB2312" w:eastAsia="仿宋_GB2312" w:cs="仿宋_GB2312"/>
        </w:rPr>
      </w:pPr>
      <w:r>
        <w:rPr>
          <w:rFonts w:hint="eastAsia" w:ascii="仿宋_GB2312" w:hAnsi="仿宋_GB2312" w:eastAsia="仿宋_GB2312" w:cs="仿宋_GB2312"/>
          <w:lang w:val="en-US" w:eastAsia="zh-CN"/>
        </w:rPr>
        <w:t>学院艺术教育师资队伍的</w:t>
      </w:r>
      <w:r>
        <w:rPr>
          <w:rFonts w:hint="eastAsia" w:ascii="仿宋_GB2312" w:hAnsi="仿宋_GB2312" w:eastAsia="仿宋_GB2312" w:cs="仿宋_GB2312"/>
        </w:rPr>
        <w:t>学缘结构与专业背景涵盖美术、设计、音乐等多个艺术学科方向。本年度，持续推进教师专业能力提升，</w:t>
      </w:r>
      <w:r>
        <w:rPr>
          <w:rFonts w:hint="eastAsia" w:ascii="仿宋_GB2312" w:hAnsi="仿宋_GB2312" w:eastAsia="仿宋_GB2312" w:cs="仿宋_GB2312"/>
          <w:lang w:val="en-US" w:eastAsia="zh-CN"/>
        </w:rPr>
        <w:t>多名教师</w:t>
      </w:r>
      <w:r>
        <w:rPr>
          <w:rFonts w:hint="eastAsia" w:ascii="仿宋_GB2312" w:hAnsi="仿宋_GB2312" w:eastAsia="仿宋_GB2312" w:cs="仿宋_GB2312"/>
        </w:rPr>
        <w:t>荣获“课堂教学优秀教师”称号。</w:t>
      </w:r>
    </w:p>
    <w:p w14:paraId="6D42CF86">
      <w:pPr>
        <w:spacing w:after="160"/>
        <w:rPr>
          <w:rFonts w:hint="eastAsia" w:ascii="仿宋_GB2312" w:hAnsi="仿宋_GB2312" w:eastAsia="仿宋_GB2312" w:cs="仿宋_GB2312"/>
          <w:lang w:eastAsia="zh-CN"/>
        </w:rPr>
      </w:pPr>
      <w:r>
        <w:rPr>
          <w:rFonts w:hint="eastAsia" w:ascii="仿宋_GB2312" w:hAnsi="仿宋_GB2312" w:eastAsia="仿宋_GB2312" w:cs="仿宋_GB2312"/>
        </w:rPr>
        <w:t>教师在艺术创作与专业竞赛中表现突出</w:t>
      </w:r>
      <w:r>
        <w:rPr>
          <w:rFonts w:hint="eastAsia" w:ascii="仿宋_GB2312" w:hAnsi="仿宋_GB2312" w:eastAsia="仿宋_GB2312" w:cs="仿宋_GB2312"/>
          <w:lang w:eastAsia="zh-CN"/>
        </w:rPr>
        <w:t>，先后在</w:t>
      </w:r>
      <w:r>
        <w:rPr>
          <w:rFonts w:hint="eastAsia" w:ascii="仿宋_GB2312" w:hAnsi="仿宋_GB2312" w:eastAsia="仿宋_GB2312" w:cs="仿宋_GB2312"/>
          <w:lang w:val="en-US" w:eastAsia="zh-CN"/>
        </w:rPr>
        <w:t>国家级、</w:t>
      </w:r>
      <w:r>
        <w:rPr>
          <w:rFonts w:hint="eastAsia" w:ascii="仿宋_GB2312" w:hAnsi="仿宋_GB2312" w:eastAsia="仿宋_GB2312" w:cs="仿宋_GB2312"/>
          <w:lang w:eastAsia="zh-CN"/>
        </w:rPr>
        <w:t>省市级专业赛事中斩获多项荣誉；同时组织多名教师参加艺术教育学术研讨与专业培训活动，教师的教学能力与专业素养得到进一步提升，为艺术教育高质量开展奠定了扎实的人才基础。</w:t>
      </w:r>
    </w:p>
    <w:p w14:paraId="1D0E8A72">
      <w:pPr>
        <w:pStyle w:val="3"/>
        <w:rPr>
          <w:rFonts w:hint="eastAsia" w:ascii="仿宋_GB2312" w:hAnsi="仿宋_GB2312" w:eastAsia="仿宋_GB2312" w:cs="仿宋_GB2312"/>
        </w:rPr>
      </w:pPr>
      <w:bookmarkStart w:id="6" w:name="_Toc14685"/>
      <w:r>
        <w:rPr>
          <w:rFonts w:hint="eastAsia" w:ascii="仿宋_GB2312" w:hAnsi="仿宋_GB2312" w:eastAsia="仿宋_GB2312" w:cs="仿宋_GB2312"/>
        </w:rPr>
        <w:t>（三）科研与教研成果</w:t>
      </w:r>
      <w:bookmarkEnd w:id="6"/>
    </w:p>
    <w:p w14:paraId="51C75266">
      <w:pPr>
        <w:spacing w:after="160"/>
        <w:jc w:val="both"/>
        <w:rPr>
          <w:rFonts w:hint="eastAsia" w:ascii="仿宋_GB2312" w:hAnsi="仿宋_GB2312" w:eastAsia="仿宋_GB2312" w:cs="仿宋_GB2312"/>
          <w:lang w:eastAsia="zh-CN"/>
        </w:rPr>
      </w:pPr>
      <w:r>
        <w:rPr>
          <w:rFonts w:hint="eastAsia" w:ascii="仿宋_GB2312" w:hAnsi="仿宋_GB2312" w:eastAsia="仿宋_GB2312" w:cs="仿宋_GB2312"/>
        </w:rPr>
        <w:t>本年度科研工作取得多项突破</w:t>
      </w:r>
      <w:r>
        <w:rPr>
          <w:rFonts w:hint="eastAsia" w:ascii="仿宋_GB2312" w:hAnsi="仿宋_GB2312" w:eastAsia="仿宋_GB2312" w:cs="仿宋_GB2312"/>
          <w:lang w:eastAsia="zh-CN"/>
        </w:rPr>
        <w:t>，学院教师在国内外核心学术期刊发表艺术教育相关论文多篇，申报各级各类科研、教研课题项，其中多项课题获得省部级、市厅级立项资助，获批多项教学成果奖，围绕艺术教育改革、地方文化资源融入美育等主题形成了一批兼具理论价值与实践意义的研究成果，有效反哺了课堂教学与人才培养。</w:t>
      </w:r>
    </w:p>
    <w:p w14:paraId="210880C8">
      <w:pPr>
        <w:pStyle w:val="3"/>
        <w:rPr>
          <w:rFonts w:hint="eastAsia" w:ascii="仿宋_GB2312" w:hAnsi="仿宋_GB2312" w:eastAsia="仿宋_GB2312" w:cs="仿宋_GB2312"/>
        </w:rPr>
      </w:pPr>
      <w:bookmarkStart w:id="7" w:name="_Toc29362"/>
      <w:r>
        <w:rPr>
          <w:rFonts w:hint="eastAsia" w:ascii="仿宋_GB2312" w:hAnsi="仿宋_GB2312" w:eastAsia="仿宋_GB2312" w:cs="仿宋_GB2312"/>
        </w:rPr>
        <w:t>（四）艺术实践与美育活动</w:t>
      </w:r>
      <w:bookmarkEnd w:id="7"/>
    </w:p>
    <w:p w14:paraId="7114F44E">
      <w:pPr>
        <w:jc w:val="both"/>
        <w:rPr>
          <w:rFonts w:hint="eastAsia" w:ascii="仿宋_GB2312" w:hAnsi="仿宋_GB2312" w:eastAsia="仿宋_GB2312" w:cs="仿宋_GB2312"/>
        </w:rPr>
      </w:pPr>
      <w:r>
        <w:rPr>
          <w:rFonts w:hint="eastAsia" w:ascii="仿宋_GB2312" w:hAnsi="仿宋_GB2312" w:eastAsia="仿宋_GB2312" w:cs="仿宋_GB2312"/>
        </w:rPr>
        <w:t>坚持“以美育人、以文化人”，积极拓展校内外艺术实践平台。全年组织美育服务社会活动</w:t>
      </w:r>
      <w:r>
        <w:rPr>
          <w:rFonts w:hint="eastAsia" w:ascii="仿宋_GB2312" w:hAnsi="仿宋_GB2312" w:eastAsia="仿宋_GB2312" w:cs="仿宋_GB2312"/>
          <w:lang w:val="en-US" w:eastAsia="zh-CN"/>
        </w:rPr>
        <w:t>8</w:t>
      </w:r>
      <w:r>
        <w:rPr>
          <w:rFonts w:hint="eastAsia" w:ascii="仿宋_GB2312" w:hAnsi="仿宋_GB2312" w:eastAsia="仿宋_GB2312" w:cs="仿宋_GB2312"/>
        </w:rPr>
        <w:t>场次，服务地方文化建设；在校内开展合唱体验活动1</w:t>
      </w:r>
      <w:r>
        <w:rPr>
          <w:rFonts w:hint="eastAsia" w:ascii="仿宋_GB2312" w:hAnsi="仿宋_GB2312" w:eastAsia="仿宋_GB2312" w:cs="仿宋_GB2312"/>
          <w:lang w:val="en-US" w:eastAsia="zh-CN"/>
        </w:rPr>
        <w:t>3</w:t>
      </w:r>
      <w:r>
        <w:rPr>
          <w:rFonts w:hint="eastAsia" w:ascii="仿宋_GB2312" w:hAnsi="仿宋_GB2312" w:eastAsia="仿宋_GB2312" w:cs="仿宋_GB2312"/>
        </w:rPr>
        <w:t>场，参与学生</w:t>
      </w:r>
      <w:r>
        <w:rPr>
          <w:rFonts w:hint="eastAsia" w:ascii="仿宋_GB2312" w:hAnsi="仿宋_GB2312" w:eastAsia="仿宋_GB2312" w:cs="仿宋_GB2312"/>
          <w:lang w:val="en-US" w:eastAsia="zh-CN"/>
        </w:rPr>
        <w:t>500</w:t>
      </w:r>
      <w:r>
        <w:rPr>
          <w:rFonts w:hint="eastAsia" w:ascii="仿宋_GB2312" w:hAnsi="仿宋_GB2312" w:eastAsia="仿宋_GB2312" w:cs="仿宋_GB2312"/>
        </w:rPr>
        <w:t>人；辅导学生参加音乐会演出</w:t>
      </w:r>
      <w:r>
        <w:rPr>
          <w:rFonts w:hint="eastAsia" w:ascii="仿宋_GB2312" w:hAnsi="仿宋_GB2312" w:eastAsia="仿宋_GB2312" w:cs="仿宋_GB2312"/>
          <w:lang w:val="en-US" w:eastAsia="zh-CN"/>
        </w:rPr>
        <w:t>活动</w:t>
      </w:r>
      <w:r>
        <w:rPr>
          <w:rFonts w:hint="eastAsia" w:ascii="仿宋_GB2312" w:hAnsi="仿宋_GB2312" w:eastAsia="仿宋_GB2312" w:cs="仿宋_GB2312"/>
        </w:rPr>
        <w:t>，有效提升了学生的艺术表现力和审美素养。</w:t>
      </w:r>
    </w:p>
    <w:p w14:paraId="1CFDA628">
      <w:pPr>
        <w:pStyle w:val="3"/>
        <w:rPr>
          <w:rFonts w:hint="eastAsia" w:ascii="仿宋_GB2312" w:hAnsi="仿宋_GB2312" w:eastAsia="仿宋_GB2312" w:cs="仿宋_GB2312"/>
        </w:rPr>
      </w:pPr>
      <w:bookmarkStart w:id="8" w:name="_Toc11319"/>
      <w:r>
        <w:rPr>
          <w:rFonts w:hint="eastAsia" w:ascii="仿宋_GB2312" w:hAnsi="仿宋_GB2312" w:eastAsia="仿宋_GB2312" w:cs="仿宋_GB2312"/>
        </w:rPr>
        <w:t>（五）学生竞赛获奖情况</w:t>
      </w:r>
      <w:bookmarkEnd w:id="8"/>
    </w:p>
    <w:p w14:paraId="473A09EA">
      <w:pPr>
        <w:jc w:val="both"/>
        <w:rPr>
          <w:rFonts w:hint="eastAsia" w:ascii="仿宋_GB2312" w:hAnsi="仿宋_GB2312" w:eastAsia="仿宋_GB2312" w:cs="仿宋_GB2312"/>
          <w:lang w:eastAsia="zh-CN"/>
        </w:rPr>
      </w:pPr>
      <w:r>
        <w:rPr>
          <w:rFonts w:hint="eastAsia" w:ascii="仿宋_GB2312" w:hAnsi="仿宋_GB2312" w:eastAsia="仿宋_GB2312" w:cs="仿宋_GB2312"/>
        </w:rPr>
        <w:t>本年度辅导学生参加各类各级艺术与设计竞赛，成绩优异，</w:t>
      </w:r>
      <w:r>
        <w:rPr>
          <w:rFonts w:hint="eastAsia" w:ascii="仿宋_GB2312" w:hAnsi="仿宋_GB2312" w:eastAsia="仿宋_GB2312" w:cs="仿宋_GB2312"/>
          <w:lang w:eastAsia="zh-CN"/>
        </w:rPr>
        <w:t>共有</w:t>
      </w:r>
      <w:r>
        <w:rPr>
          <w:rFonts w:hint="eastAsia" w:ascii="仿宋_GB2312" w:hAnsi="仿宋_GB2312" w:eastAsia="仿宋_GB2312" w:cs="仿宋_GB2312"/>
          <w:lang w:val="en-US" w:eastAsia="zh-CN"/>
        </w:rPr>
        <w:t>50</w:t>
      </w:r>
      <w:r>
        <w:rPr>
          <w:rFonts w:hint="eastAsia" w:ascii="仿宋_GB2312" w:hAnsi="仿宋_GB2312" w:eastAsia="仿宋_GB2312" w:cs="仿宋_GB2312"/>
          <w:lang w:eastAsia="zh-CN"/>
        </w:rPr>
        <w:t>名学生分别在国家级、省市级赛事中获得不同等级奖项，参赛学生的专业实践能力与艺术创新能力在竞赛中得到充分锻炼与检验，也直观展现了我院艺术教育人才培养的成果。</w:t>
      </w:r>
    </w:p>
    <w:p w14:paraId="239355F4">
      <w:pPr>
        <w:pStyle w:val="3"/>
        <w:rPr>
          <w:rFonts w:hint="eastAsia" w:ascii="仿宋_GB2312" w:hAnsi="仿宋_GB2312" w:eastAsia="仿宋_GB2312" w:cs="仿宋_GB2312"/>
        </w:rPr>
      </w:pPr>
      <w:bookmarkStart w:id="9" w:name="_Toc13001"/>
      <w:r>
        <w:rPr>
          <w:rFonts w:hint="eastAsia" w:ascii="仿宋_GB2312" w:hAnsi="仿宋_GB2312" w:eastAsia="仿宋_GB2312" w:cs="仿宋_GB2312"/>
        </w:rPr>
        <w:t>（六）条件保障与特色发展</w:t>
      </w:r>
      <w:bookmarkEnd w:id="9"/>
    </w:p>
    <w:p w14:paraId="2E5D45E1">
      <w:pPr>
        <w:jc w:val="both"/>
        <w:rPr>
          <w:rFonts w:hint="eastAsia" w:ascii="仿宋_GB2312" w:hAnsi="仿宋_GB2312" w:eastAsia="仿宋_GB2312" w:cs="仿宋_GB2312"/>
        </w:rPr>
      </w:pPr>
      <w:r>
        <w:rPr>
          <w:rFonts w:hint="eastAsia" w:ascii="仿宋_GB2312" w:hAnsi="仿宋_GB2312" w:eastAsia="仿宋_GB2312" w:cs="仿宋_GB2312"/>
        </w:rPr>
        <w:t>硬件条件方面，</w:t>
      </w:r>
      <w:r>
        <w:rPr>
          <w:rFonts w:hint="eastAsia" w:ascii="仿宋_GB2312" w:hAnsi="仿宋_GB2312" w:eastAsia="仿宋_GB2312" w:cs="仿宋_GB2312"/>
          <w:lang w:val="en-US" w:eastAsia="zh-CN"/>
        </w:rPr>
        <w:t>学校</w:t>
      </w:r>
      <w:r>
        <w:rPr>
          <w:rFonts w:hint="eastAsia" w:ascii="仿宋_GB2312" w:hAnsi="仿宋_GB2312" w:eastAsia="仿宋_GB2312" w:cs="仿宋_GB2312"/>
        </w:rPr>
        <w:t>配备专用多媒体教室</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艺术与传媒实践教学中心、“镜藏时光”“扇艺华章”“版印心语”展览馆</w:t>
      </w:r>
      <w:r>
        <w:rPr>
          <w:rFonts w:hint="eastAsia" w:ascii="仿宋_GB2312" w:hAnsi="仿宋_GB2312" w:eastAsia="仿宋_GB2312" w:cs="仿宋_GB2312"/>
        </w:rPr>
        <w:t>满足日常教学与艺术活动需求。</w:t>
      </w:r>
    </w:p>
    <w:p w14:paraId="08D2F9AF">
      <w:pPr>
        <w:jc w:val="both"/>
        <w:rPr>
          <w:rFonts w:hint="eastAsia" w:ascii="仿宋_GB2312" w:hAnsi="仿宋_GB2312" w:eastAsia="仿宋_GB2312" w:cs="仿宋_GB2312"/>
        </w:rPr>
      </w:pPr>
      <w:r>
        <w:rPr>
          <w:rFonts w:hint="eastAsia" w:ascii="仿宋_GB2312" w:hAnsi="仿宋_GB2312" w:eastAsia="仿宋_GB2312" w:cs="仿宋_GB2312"/>
        </w:rPr>
        <w:t>特色项目建设方面，持续推进内涵式发展，立项校级通识教育精品课程1项；获批校级特色项目“二十四节气美育传习中心”1个，探索传统文化美育的创新传承路径。</w:t>
      </w:r>
    </w:p>
    <w:p w14:paraId="711DD1DA">
      <w:pPr>
        <w:jc w:val="both"/>
        <w:rPr>
          <w:rFonts w:hint="eastAsia" w:ascii="仿宋_GB2312" w:hAnsi="仿宋_GB2312" w:eastAsia="仿宋_GB2312" w:cs="仿宋_GB2312"/>
        </w:rPr>
      </w:pPr>
      <w:r>
        <w:rPr>
          <w:rFonts w:hint="eastAsia" w:ascii="仿宋_GB2312" w:hAnsi="仿宋_GB2312" w:eastAsia="仿宋_GB2312" w:cs="仿宋_GB2312"/>
        </w:rPr>
        <w:t>校企共建方面，与商丘市文化馆非遗中心建立合作关系，依托地方文化资源搭建实践教学平台，促进校地协同育人。</w:t>
      </w:r>
    </w:p>
    <w:p w14:paraId="708D0688">
      <w:pPr>
        <w:pStyle w:val="2"/>
        <w:rPr>
          <w:rFonts w:hint="eastAsia" w:ascii="仿宋_GB2312" w:hAnsi="仿宋_GB2312" w:eastAsia="仿宋_GB2312" w:cs="仿宋_GB2312"/>
        </w:rPr>
      </w:pPr>
      <w:bookmarkStart w:id="10" w:name="_Toc6818"/>
      <w:r>
        <w:rPr>
          <w:rFonts w:hint="eastAsia" w:ascii="仿宋_GB2312" w:hAnsi="仿宋_GB2312" w:eastAsia="仿宋_GB2312" w:cs="仿宋_GB2312"/>
        </w:rPr>
        <w:t>三、2026年发展规划</w:t>
      </w:r>
      <w:bookmarkEnd w:id="10"/>
      <w:bookmarkStart w:id="11" w:name="_Toc003"/>
      <w:bookmarkEnd w:id="11"/>
    </w:p>
    <w:p w14:paraId="2D8FB02D">
      <w:pPr>
        <w:pStyle w:val="3"/>
        <w:rPr>
          <w:rFonts w:hint="eastAsia" w:ascii="仿宋_GB2312" w:hAnsi="仿宋_GB2312" w:eastAsia="仿宋_GB2312" w:cs="仿宋_GB2312"/>
        </w:rPr>
      </w:pPr>
      <w:bookmarkStart w:id="12" w:name="_Toc29082"/>
      <w:r>
        <w:rPr>
          <w:rFonts w:hint="eastAsia" w:ascii="仿宋_GB2312" w:hAnsi="仿宋_GB2312" w:eastAsia="仿宋_GB2312" w:cs="仿宋_GB2312"/>
        </w:rPr>
        <w:t>（一）总体目标</w:t>
      </w:r>
      <w:bookmarkEnd w:id="12"/>
    </w:p>
    <w:p w14:paraId="667EB6C3">
      <w:pPr>
        <w:jc w:val="both"/>
        <w:rPr>
          <w:rFonts w:hint="eastAsia" w:ascii="仿宋_GB2312" w:hAnsi="仿宋_GB2312" w:eastAsia="仿宋_GB2312" w:cs="仿宋_GB2312"/>
        </w:rPr>
      </w:pPr>
      <w:r>
        <w:rPr>
          <w:rFonts w:hint="eastAsia" w:ascii="仿宋_GB2312" w:hAnsi="仿宋_GB2312" w:eastAsia="仿宋_GB2312" w:cs="仿宋_GB2312"/>
        </w:rPr>
        <w:t>以习近平新时代中国特色社会主义思想为指导，深入贯彻《关于全面加强和改进新时代学校美育工作的意见》及《高等学校公共艺术课程指导纲要》精神，对标河南省艺术教育评估标准，坚持“以美育人、以文化人”，聚焦课程提质、师资补强、数字赋能、品牌塑造、评价改革五大核心任务，推动艺术教育高质量发展，力争在</w:t>
      </w:r>
      <w:bookmarkStart w:id="23" w:name="_GoBack"/>
      <w:bookmarkEnd w:id="23"/>
      <w:r>
        <w:rPr>
          <w:rFonts w:hint="eastAsia" w:ascii="仿宋_GB2312" w:hAnsi="仿宋_GB2312" w:eastAsia="仿宋_GB2312" w:cs="仿宋_GB2312"/>
        </w:rPr>
        <w:t>建设周期内实现省级精品课程突破，形成具有商丘地域特色的高校美育品牌。</w:t>
      </w:r>
    </w:p>
    <w:p w14:paraId="2D57ABB3">
      <w:pPr>
        <w:pStyle w:val="3"/>
        <w:rPr>
          <w:rFonts w:hint="eastAsia" w:ascii="仿宋_GB2312" w:hAnsi="仿宋_GB2312" w:eastAsia="仿宋_GB2312" w:cs="仿宋_GB2312"/>
        </w:rPr>
      </w:pPr>
      <w:bookmarkStart w:id="13" w:name="_Toc32151"/>
      <w:r>
        <w:rPr>
          <w:rFonts w:hint="eastAsia" w:ascii="仿宋_GB2312" w:hAnsi="仿宋_GB2312" w:eastAsia="仿宋_GB2312" w:cs="仿宋_GB2312"/>
        </w:rPr>
        <w:t>（二）重点任务</w:t>
      </w:r>
      <w:bookmarkEnd w:id="13"/>
    </w:p>
    <w:p w14:paraId="1789456A">
      <w:pPr>
        <w:pStyle w:val="4"/>
        <w:rPr>
          <w:rFonts w:hint="eastAsia" w:ascii="仿宋_GB2312" w:hAnsi="仿宋_GB2312" w:eastAsia="仿宋_GB2312" w:cs="仿宋_GB2312"/>
        </w:rPr>
      </w:pPr>
      <w:bookmarkStart w:id="14" w:name="_Toc12710"/>
      <w:r>
        <w:rPr>
          <w:rFonts w:hint="eastAsia" w:ascii="仿宋_GB2312" w:hAnsi="仿宋_GB2312" w:eastAsia="仿宋_GB2312" w:cs="仿宋_GB2312"/>
        </w:rPr>
        <w:t>1.课程提质：打造精品，提升内涵</w:t>
      </w:r>
      <w:bookmarkEnd w:id="14"/>
    </w:p>
    <w:p w14:paraId="542530CD">
      <w:pPr>
        <w:jc w:val="both"/>
        <w:rPr>
          <w:rFonts w:hint="eastAsia" w:ascii="仿宋_GB2312" w:hAnsi="仿宋_GB2312" w:eastAsia="仿宋_GB2312" w:cs="仿宋_GB2312"/>
        </w:rPr>
      </w:pPr>
      <w:r>
        <w:rPr>
          <w:rFonts w:hint="eastAsia" w:ascii="仿宋_GB2312" w:hAnsi="仿宋_GB2312" w:eastAsia="仿宋_GB2312" w:cs="仿宋_GB2312"/>
        </w:rPr>
        <w:t>持续优化“美学理论+艺术鉴赏+艺术实践+非遗传承”四维课程体系。重点选择1门基础扎实、特色鲜明、学生认可度高的通识课程，集中优势资源进行省级精品通识课程培育与申报。通过教学团队重组、课程内容重构、教学方法创新、教学资源重组，实现课程质量的系统性跃升，发挥精品课程的示范引领与辐射带动作用。</w:t>
      </w:r>
    </w:p>
    <w:p w14:paraId="382A779A">
      <w:pPr>
        <w:pStyle w:val="4"/>
        <w:rPr>
          <w:rFonts w:hint="eastAsia" w:ascii="仿宋_GB2312" w:hAnsi="仿宋_GB2312" w:eastAsia="仿宋_GB2312" w:cs="仿宋_GB2312"/>
        </w:rPr>
      </w:pPr>
      <w:bookmarkStart w:id="15" w:name="_Toc11604"/>
      <w:r>
        <w:rPr>
          <w:rFonts w:hint="eastAsia" w:ascii="仿宋_GB2312" w:hAnsi="仿宋_GB2312" w:eastAsia="仿宋_GB2312" w:cs="仿宋_GB2312"/>
        </w:rPr>
        <w:t>2.师资补强：引育并举，优化结构</w:t>
      </w:r>
      <w:bookmarkEnd w:id="15"/>
    </w:p>
    <w:p w14:paraId="3911872C">
      <w:pPr>
        <w:jc w:val="both"/>
        <w:rPr>
          <w:rFonts w:hint="eastAsia" w:ascii="仿宋_GB2312" w:hAnsi="仿宋_GB2312" w:eastAsia="仿宋_GB2312" w:cs="仿宋_GB2312"/>
        </w:rPr>
      </w:pPr>
      <w:r>
        <w:rPr>
          <w:rFonts w:hint="eastAsia" w:ascii="仿宋_GB2312" w:hAnsi="仿宋_GB2312" w:eastAsia="仿宋_GB2312" w:cs="仿宋_GB2312"/>
        </w:rPr>
        <w:t>采取“内部培养+外部引进”双轨并行策略。加大现有教师的培养力度，支持骨干教师向艺术疗愈、非遗传承等新兴与特色方向转型拓展；积极争取学校人事政策支持，引进艺术疗愈、非遗技艺等领域的专业人才，充实专任教师队伍，逐步改善生师比，为课程拓展与特色发展提供人才支撑。</w:t>
      </w:r>
    </w:p>
    <w:p w14:paraId="34F3F542">
      <w:pPr>
        <w:pStyle w:val="4"/>
        <w:rPr>
          <w:rFonts w:hint="eastAsia" w:ascii="仿宋_GB2312" w:hAnsi="仿宋_GB2312" w:eastAsia="仿宋_GB2312" w:cs="仿宋_GB2312"/>
        </w:rPr>
      </w:pPr>
      <w:bookmarkStart w:id="16" w:name="_Toc21227"/>
      <w:r>
        <w:rPr>
          <w:rFonts w:hint="eastAsia" w:ascii="仿宋_GB2312" w:hAnsi="仿宋_GB2312" w:eastAsia="仿宋_GB2312" w:cs="仿宋_GB2312"/>
        </w:rPr>
        <w:t>3.数字赋能：技术融合，资源共建</w:t>
      </w:r>
      <w:bookmarkEnd w:id="16"/>
    </w:p>
    <w:p w14:paraId="600905C8">
      <w:pPr>
        <w:jc w:val="both"/>
        <w:rPr>
          <w:rFonts w:hint="eastAsia" w:ascii="仿宋_GB2312" w:hAnsi="仿宋_GB2312" w:eastAsia="仿宋_GB2312" w:cs="仿宋_GB2312"/>
        </w:rPr>
      </w:pPr>
      <w:r>
        <w:rPr>
          <w:rFonts w:hint="eastAsia" w:ascii="仿宋_GB2312" w:hAnsi="仿宋_GB2312" w:eastAsia="仿宋_GB2312" w:cs="仿宋_GB2312"/>
        </w:rPr>
        <w:t>顺应教育数字化转型趋势，推进艺术教育与信息技术的深度融合。规划建设线上艺术课程资源库，将优质课程录制成在线开放课程，扩大优质教学资源的覆盖面与受益面。积极探索艺术虚拟仿真实验项目建设，借助虚拟现实（VR）、增强现实（AR）等技术手段，构建沉浸式艺术体验场景，弥补线下实践条件不足，提升学生的参与感与获得感。</w:t>
      </w:r>
    </w:p>
    <w:p w14:paraId="6438C0CA">
      <w:pPr>
        <w:pStyle w:val="4"/>
        <w:rPr>
          <w:rFonts w:hint="eastAsia" w:ascii="仿宋_GB2312" w:hAnsi="仿宋_GB2312" w:eastAsia="仿宋_GB2312" w:cs="仿宋_GB2312"/>
        </w:rPr>
      </w:pPr>
      <w:bookmarkStart w:id="17" w:name="_Toc14259"/>
      <w:r>
        <w:rPr>
          <w:rFonts w:hint="eastAsia" w:ascii="仿宋_GB2312" w:hAnsi="仿宋_GB2312" w:eastAsia="仿宋_GB2312" w:cs="仿宋_GB2312"/>
        </w:rPr>
        <w:t>4.品牌塑造：深耕地域，彰显特色</w:t>
      </w:r>
      <w:bookmarkEnd w:id="17"/>
    </w:p>
    <w:p w14:paraId="54197855">
      <w:pPr>
        <w:jc w:val="both"/>
        <w:rPr>
          <w:rFonts w:hint="eastAsia" w:ascii="仿宋_GB2312" w:hAnsi="仿宋_GB2312" w:eastAsia="仿宋_GB2312" w:cs="仿宋_GB2312"/>
        </w:rPr>
      </w:pPr>
      <w:r>
        <w:rPr>
          <w:rFonts w:hint="eastAsia" w:ascii="仿宋_GB2312" w:hAnsi="仿宋_GB2312" w:eastAsia="仿宋_GB2312" w:cs="仿宋_GB2312"/>
        </w:rPr>
        <w:t>持续深化“二十四节气美育传习中心”建设，将其打造为集课程教学、实践体验、学术研究、社会服务于一体的综合性美育平台。深入挖掘商丘作为华夏文明重要发祥地的文化资源，将二十四节气文化、豫东民间艺术、黄河流域非遗元素系统融入课程教学与校园文化活动，形成“课程—实践—展示—传播”的品牌化运作链条，塑造具有商丘地域标识度的公共艺术教育品牌。</w:t>
      </w:r>
    </w:p>
    <w:p w14:paraId="65D97969">
      <w:pPr>
        <w:pStyle w:val="4"/>
        <w:rPr>
          <w:rFonts w:hint="eastAsia" w:ascii="仿宋_GB2312" w:hAnsi="仿宋_GB2312" w:eastAsia="仿宋_GB2312" w:cs="仿宋_GB2312"/>
        </w:rPr>
      </w:pPr>
      <w:bookmarkStart w:id="18" w:name="_Toc27236"/>
      <w:r>
        <w:rPr>
          <w:rFonts w:hint="eastAsia" w:ascii="仿宋_GB2312" w:hAnsi="仿宋_GB2312" w:eastAsia="仿宋_GB2312" w:cs="仿宋_GB2312"/>
        </w:rPr>
        <w:t>5.评价改革：科学评价，以评促教</w:t>
      </w:r>
      <w:bookmarkEnd w:id="18"/>
    </w:p>
    <w:p w14:paraId="6C90C0DD">
      <w:pPr>
        <w:jc w:val="both"/>
        <w:rPr>
          <w:rFonts w:hint="eastAsia" w:ascii="仿宋_GB2312" w:hAnsi="仿宋_GB2312" w:eastAsia="仿宋_GB2312" w:cs="仿宋_GB2312"/>
        </w:rPr>
      </w:pPr>
      <w:r>
        <w:rPr>
          <w:rFonts w:hint="eastAsia" w:ascii="仿宋_GB2312" w:hAnsi="仿宋_GB2312" w:eastAsia="仿宋_GB2312" w:cs="仿宋_GB2312"/>
        </w:rPr>
        <w:t>探索建立学生艺术素养评价方式，改变单一的结果性评价模式，构建过程性评价与终结性评价相结合、定量评价与定性评价相补充的多元化评价体系。通过课堂表现、艺术实践、作品创作、素养测评等多维度数据采集，全面反映学生艺术素养发展状况，以评价改革倒逼教学改革，实现“以评促教、以评促学”的良性循环。</w:t>
      </w:r>
    </w:p>
    <w:p w14:paraId="01F8190B">
      <w:pPr>
        <w:pStyle w:val="3"/>
        <w:rPr>
          <w:rFonts w:hint="eastAsia" w:ascii="仿宋_GB2312" w:hAnsi="仿宋_GB2312" w:eastAsia="仿宋_GB2312" w:cs="仿宋_GB2312"/>
        </w:rPr>
      </w:pPr>
      <w:bookmarkStart w:id="19" w:name="_Toc18980"/>
      <w:r>
        <w:rPr>
          <w:rFonts w:hint="eastAsia" w:ascii="仿宋_GB2312" w:hAnsi="仿宋_GB2312" w:eastAsia="仿宋_GB2312" w:cs="仿宋_GB2312"/>
        </w:rPr>
        <w:t>（三）保障措施</w:t>
      </w:r>
      <w:bookmarkEnd w:id="19"/>
    </w:p>
    <w:p w14:paraId="40DEA76D">
      <w:pPr>
        <w:pStyle w:val="4"/>
        <w:rPr>
          <w:rFonts w:hint="eastAsia" w:ascii="仿宋_GB2312" w:hAnsi="仿宋_GB2312" w:eastAsia="仿宋_GB2312" w:cs="仿宋_GB2312"/>
        </w:rPr>
      </w:pPr>
      <w:bookmarkStart w:id="20" w:name="_Toc12959"/>
      <w:r>
        <w:rPr>
          <w:rFonts w:hint="eastAsia" w:ascii="仿宋_GB2312" w:hAnsi="仿宋_GB2312" w:eastAsia="仿宋_GB2312" w:cs="仿宋_GB2312"/>
        </w:rPr>
        <w:t>1.组织保障</w:t>
      </w:r>
      <w:bookmarkEnd w:id="20"/>
    </w:p>
    <w:p w14:paraId="32BCBCDC">
      <w:pPr>
        <w:jc w:val="both"/>
        <w:rPr>
          <w:rFonts w:hint="eastAsia" w:ascii="仿宋_GB2312" w:hAnsi="仿宋_GB2312" w:eastAsia="仿宋_GB2312" w:cs="仿宋_GB2312"/>
        </w:rPr>
      </w:pPr>
      <w:r>
        <w:rPr>
          <w:rFonts w:hint="eastAsia" w:ascii="仿宋_GB2312" w:hAnsi="仿宋_GB2312" w:eastAsia="仿宋_GB2312" w:cs="仿宋_GB2312"/>
        </w:rPr>
        <w:t>完善艺术教育工作领导小组运行机制，明确</w:t>
      </w:r>
      <w:r>
        <w:rPr>
          <w:rFonts w:hint="eastAsia" w:ascii="仿宋_GB2312" w:hAnsi="仿宋_GB2312" w:eastAsia="仿宋_GB2312" w:cs="仿宋_GB2312"/>
          <w:lang w:val="en-US" w:eastAsia="zh-CN"/>
        </w:rPr>
        <w:t>相关部门的</w:t>
      </w:r>
      <w:r>
        <w:rPr>
          <w:rFonts w:hint="eastAsia" w:ascii="仿宋_GB2312" w:hAnsi="仿宋_GB2312" w:eastAsia="仿宋_GB2312" w:cs="仿宋_GB2312"/>
        </w:rPr>
        <w:t>职责分工，建立健全跨部门协同联动机制，形成齐抓共管的工作格局。</w:t>
      </w:r>
    </w:p>
    <w:p w14:paraId="043DC216">
      <w:pPr>
        <w:pStyle w:val="4"/>
        <w:rPr>
          <w:rFonts w:hint="eastAsia" w:ascii="仿宋_GB2312" w:hAnsi="仿宋_GB2312" w:eastAsia="仿宋_GB2312" w:cs="仿宋_GB2312"/>
        </w:rPr>
      </w:pPr>
      <w:bookmarkStart w:id="21" w:name="_Toc21616"/>
      <w:r>
        <w:rPr>
          <w:rFonts w:hint="eastAsia" w:ascii="仿宋_GB2312" w:hAnsi="仿宋_GB2312" w:eastAsia="仿宋_GB2312" w:cs="仿宋_GB2312"/>
        </w:rPr>
        <w:t>2.经费保障</w:t>
      </w:r>
      <w:bookmarkEnd w:id="21"/>
    </w:p>
    <w:p w14:paraId="48AC140F">
      <w:pPr>
        <w:jc w:val="both"/>
        <w:rPr>
          <w:rFonts w:hint="eastAsia" w:ascii="仿宋_GB2312" w:hAnsi="仿宋_GB2312" w:eastAsia="仿宋_GB2312" w:cs="仿宋_GB2312"/>
        </w:rPr>
      </w:pPr>
      <w:r>
        <w:rPr>
          <w:rFonts w:hint="eastAsia" w:ascii="仿宋_GB2312" w:hAnsi="仿宋_GB2312" w:eastAsia="仿宋_GB2312" w:cs="仿宋_GB2312"/>
          <w:lang w:eastAsia="zh-CN"/>
        </w:rPr>
        <w:t>商丘学院艺术与传媒学院</w:t>
      </w:r>
      <w:r>
        <w:rPr>
          <w:rFonts w:hint="eastAsia" w:ascii="仿宋_GB2312" w:hAnsi="仿宋_GB2312" w:eastAsia="仿宋_GB2312" w:cs="仿宋_GB2312"/>
        </w:rPr>
        <w:t>2026年建设与发展需学校给予专项经费支持，重点用于省级精品课程建设、线上课程资源开发、虚拟仿真实验项目建设、艺术疗愈与非遗方向师资培养、品牌活动开展、教学设备更新等方面，确保各项重点任务落到实处、取得实效。</w:t>
      </w:r>
      <w:r>
        <w:rPr>
          <w:rFonts w:hint="eastAsia" w:ascii="仿宋_GB2312" w:hAnsi="仿宋_GB2312" w:eastAsia="仿宋_GB2312" w:cs="仿宋_GB2312"/>
          <w:lang w:val="en-US" w:eastAsia="zh-CN"/>
        </w:rPr>
        <w:t>优化美育空间，深化美育浸润行动，助力学院艺术教育高质量发展，为学校美育工作贡献艺传力量 。</w:t>
      </w:r>
    </w:p>
    <w:p w14:paraId="247866DA">
      <w:pPr>
        <w:pStyle w:val="4"/>
        <w:rPr>
          <w:rFonts w:hint="eastAsia" w:ascii="仿宋_GB2312" w:hAnsi="仿宋_GB2312" w:eastAsia="仿宋_GB2312" w:cs="仿宋_GB2312"/>
        </w:rPr>
      </w:pPr>
      <w:bookmarkStart w:id="22" w:name="_Toc17894"/>
      <w:r>
        <w:rPr>
          <w:rFonts w:hint="eastAsia" w:ascii="仿宋_GB2312" w:hAnsi="仿宋_GB2312" w:eastAsia="仿宋_GB2312" w:cs="仿宋_GB2312"/>
        </w:rPr>
        <w:t>3.制度保障</w:t>
      </w:r>
      <w:bookmarkEnd w:id="22"/>
    </w:p>
    <w:p w14:paraId="3A0D0546">
      <w:pPr>
        <w:jc w:val="both"/>
        <w:rPr>
          <w:rFonts w:hint="eastAsia" w:ascii="仿宋_GB2312" w:hAnsi="仿宋_GB2312" w:eastAsia="仿宋_GB2312" w:cs="仿宋_GB2312"/>
        </w:rPr>
      </w:pPr>
      <w:r>
        <w:rPr>
          <w:rFonts w:hint="eastAsia" w:ascii="仿宋_GB2312" w:hAnsi="仿宋_GB2312" w:eastAsia="仿宋_GB2312" w:cs="仿宋_GB2312"/>
        </w:rPr>
        <w:t>进一步完善公共艺术课程管理办法、教学质量监控制度、教师工作量核算办法、学生艺术素养评价方案等配套制度，为公共艺术教育规范化、可持续发展提供制度支撑。</w:t>
      </w:r>
    </w:p>
    <w:p w14:paraId="45598221">
      <w:pPr>
        <w:ind w:left="0" w:leftChars="0" w:firstLine="0" w:firstLineChars="0"/>
        <w:jc w:val="both"/>
        <w:rPr>
          <w:rFonts w:hint="eastAsia" w:ascii="仿宋_GB2312" w:hAnsi="仿宋_GB2312" w:eastAsia="仿宋_GB2312" w:cs="仿宋_GB2312"/>
        </w:rPr>
      </w:pPr>
    </w:p>
    <w:p w14:paraId="0FC969F2">
      <w:pPr>
        <w:ind w:left="0" w:leftChars="0" w:firstLine="0" w:firstLineChars="0"/>
        <w:jc w:val="both"/>
        <w:rPr>
          <w:rFonts w:hint="eastAsia" w:ascii="仿宋_GB2312" w:hAnsi="仿宋_GB2312" w:eastAsia="仿宋_GB2312" w:cs="仿宋_GB2312"/>
        </w:rPr>
      </w:pPr>
    </w:p>
    <w:p w14:paraId="64814909">
      <w:pPr>
        <w:ind w:left="0" w:leftChars="0" w:firstLine="0" w:firstLineChars="0"/>
        <w:jc w:val="both"/>
        <w:rPr>
          <w:rFonts w:hint="eastAsia" w:ascii="仿宋_GB2312" w:hAnsi="仿宋_GB2312" w:eastAsia="仿宋_GB2312" w:cs="仿宋_GB2312"/>
        </w:rPr>
      </w:pPr>
    </w:p>
    <w:p w14:paraId="4719B8BD">
      <w:pPr>
        <w:ind w:left="0" w:leftChars="0" w:firstLine="0" w:firstLineChars="0"/>
        <w:jc w:val="both"/>
        <w:rPr>
          <w:rFonts w:hint="eastAsia" w:ascii="仿宋_GB2312" w:hAnsi="仿宋_GB2312" w:eastAsia="仿宋_GB2312" w:cs="仿宋_GB2312"/>
        </w:rPr>
      </w:pPr>
    </w:p>
    <w:p w14:paraId="4ADC20A7">
      <w:pPr>
        <w:ind w:left="0" w:leftChars="0" w:firstLine="0" w:firstLineChars="0"/>
        <w:jc w:val="both"/>
        <w:rPr>
          <w:rFonts w:hint="eastAsia" w:ascii="仿宋_GB2312" w:hAnsi="仿宋_GB2312" w:eastAsia="仿宋_GB2312" w:cs="仿宋_GB2312"/>
        </w:rPr>
      </w:pPr>
    </w:p>
    <w:p w14:paraId="249D5DA6">
      <w:pPr>
        <w:spacing w:before="200"/>
        <w:ind w:left="0" w:leftChars="0" w:firstLine="0" w:firstLineChars="0"/>
        <w:jc w:val="both"/>
        <w:rPr>
          <w:rFonts w:hint="eastAsia" w:ascii="仿宋_GB2312" w:hAnsi="仿宋_GB2312" w:eastAsia="仿宋_GB2312" w:cs="仿宋_GB2312"/>
        </w:rPr>
      </w:pPr>
    </w:p>
    <w:sectPr>
      <w:headerReference r:id="rId5" w:type="default"/>
      <w:footerReference r:id="rId6" w:type="default"/>
      <w:pgSz w:w="11906" w:h="16838"/>
      <w:pgMar w:top="1803" w:right="1440" w:bottom="1440" w:left="1440" w:header="0" w:footer="0"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521A5">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95A5D">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795A5D">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80" w:lineRule="auto"/>
      </w:pPr>
      <w:r>
        <w:separator/>
      </w:r>
    </w:p>
  </w:footnote>
  <w:footnote w:type="continuationSeparator" w:id="1">
    <w:p>
      <w:pPr>
        <w:spacing w:before="0" w:after="0" w:line="38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8D442">
    <w:pPr>
      <w:jc w:val="center"/>
      <w:rPr>
        <w:rFonts w:ascii="Calibri" w:hAnsi="Calibri" w:eastAsia="微软雅黑"/>
        <w:color w:val="8FA3BF"/>
        <w:sz w:val="18"/>
      </w:rPr>
    </w:pPr>
  </w:p>
  <w:p w14:paraId="003DAD06">
    <w:pPr>
      <w:jc w:val="center"/>
      <w:rPr>
        <w:rFonts w:ascii="Calibri" w:hAnsi="Calibri" w:eastAsia="微软雅黑"/>
        <w:color w:val="8FA3BF"/>
        <w:sz w:val="18"/>
      </w:rPr>
    </w:pPr>
  </w:p>
  <w:p w14:paraId="3519FBCB">
    <w:pPr>
      <w:jc w:val="center"/>
      <w:rPr>
        <w:color w:val="auto"/>
      </w:rPr>
    </w:pPr>
    <w:r>
      <w:rPr>
        <w:rFonts w:ascii="Calibri" w:hAnsi="Calibri" w:eastAsia="微软雅黑"/>
        <w:color w:val="auto"/>
        <w:sz w:val="18"/>
      </w:rPr>
      <w:t>商丘学院艺术教育发展年度报告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563A"/>
    <w:rsid w:val="00250601"/>
    <w:rsid w:val="1A9B129F"/>
    <w:rsid w:val="1CB83C72"/>
    <w:rsid w:val="1FCF491A"/>
    <w:rsid w:val="23533917"/>
    <w:rsid w:val="27383B2E"/>
    <w:rsid w:val="36820344"/>
    <w:rsid w:val="3A257964"/>
    <w:rsid w:val="3C615AB3"/>
    <w:rsid w:val="41EC6FB9"/>
    <w:rsid w:val="46D3188C"/>
    <w:rsid w:val="48E7672C"/>
    <w:rsid w:val="52DB2E5E"/>
    <w:rsid w:val="566614D4"/>
    <w:rsid w:val="59B166C6"/>
    <w:rsid w:val="6B9B7C5D"/>
    <w:rsid w:val="70531E2E"/>
    <w:rsid w:val="7792494C"/>
    <w:rsid w:val="7A5D448E"/>
    <w:rsid w:val="7FDB3BED"/>
    <w:rsid w:val="F7FEFD92"/>
    <w:rsid w:val="FF3B042F"/>
    <w:rsid w:val="FFFF53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80" w:lineRule="auto"/>
      <w:ind w:firstLine="480"/>
    </w:pPr>
    <w:rPr>
      <w:rFonts w:ascii="Calibri" w:hAnsi="Calibri" w:eastAsia="微软雅黑" w:cstheme="minorBidi"/>
      <w:color w:val="1E2A3A"/>
      <w:sz w:val="24"/>
      <w:szCs w:val="22"/>
    </w:rPr>
  </w:style>
  <w:style w:type="paragraph" w:styleId="2">
    <w:name w:val="heading 1"/>
    <w:basedOn w:val="1"/>
    <w:qFormat/>
    <w:uiPriority w:val="0"/>
    <w:pPr>
      <w:keepNext/>
      <w:keepLines/>
      <w:spacing w:before="600" w:after="240"/>
      <w:ind w:firstLine="0"/>
      <w:outlineLvl w:val="0"/>
    </w:pPr>
    <w:rPr>
      <w:rFonts w:ascii="Calibri" w:hAnsi="Calibri" w:eastAsia="微软雅黑"/>
      <w:b/>
      <w:color w:val="2A3F5F"/>
      <w:sz w:val="36"/>
    </w:rPr>
  </w:style>
  <w:style w:type="paragraph" w:styleId="3">
    <w:name w:val="heading 2"/>
    <w:basedOn w:val="1"/>
    <w:qFormat/>
    <w:uiPriority w:val="0"/>
    <w:pPr>
      <w:keepNext/>
      <w:keepLines/>
      <w:spacing w:before="400" w:after="160"/>
      <w:ind w:firstLine="0"/>
      <w:outlineLvl w:val="1"/>
    </w:pPr>
    <w:rPr>
      <w:rFonts w:ascii="Calibri" w:hAnsi="Calibri" w:eastAsia="微软雅黑"/>
      <w:b/>
      <w:color w:val="1E2A3A"/>
      <w:sz w:val="28"/>
    </w:rPr>
  </w:style>
  <w:style w:type="paragraph" w:styleId="4">
    <w:name w:val="heading 3"/>
    <w:basedOn w:val="1"/>
    <w:qFormat/>
    <w:uiPriority w:val="0"/>
    <w:pPr>
      <w:keepNext/>
      <w:keepLines/>
      <w:spacing w:before="280" w:after="120"/>
      <w:ind w:firstLine="0"/>
      <w:outlineLvl w:val="2"/>
    </w:pPr>
    <w:rPr>
      <w:rFonts w:ascii="Calibri" w:hAnsi="Calibri" w:eastAsia="微软雅黑"/>
      <w:b/>
      <w:color w:val="4A5568"/>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caption"/>
    <w:basedOn w:val="1"/>
    <w:qFormat/>
    <w:uiPriority w:val="0"/>
    <w:pPr>
      <w:spacing w:before="60" w:after="320"/>
      <w:ind w:firstLine="0"/>
      <w:jc w:val="center"/>
    </w:pPr>
    <w:rPr>
      <w:rFonts w:ascii="Calibri" w:hAnsi="Calibri" w:eastAsia="微软雅黑"/>
      <w:color w:val="8FA3BF"/>
      <w:sz w:val="20"/>
    </w:rPr>
  </w:style>
  <w:style w:type="paragraph" w:styleId="6">
    <w:name w:val="toc 3"/>
    <w:basedOn w:val="1"/>
    <w:qFormat/>
    <w:uiPriority w:val="0"/>
    <w:pPr>
      <w:tabs>
        <w:tab w:val="right" w:leader="dot" w:pos="9350"/>
      </w:tabs>
      <w:spacing w:before="40" w:after="60"/>
      <w:ind w:left="720" w:firstLine="0"/>
    </w:pPr>
    <w:rPr>
      <w:rFonts w:ascii="Calibri" w:hAnsi="Calibri" w:eastAsia="微软雅黑"/>
      <w:color w:val="4A556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qFormat/>
    <w:uiPriority w:val="0"/>
    <w:pPr>
      <w:tabs>
        <w:tab w:val="right" w:leader="dot" w:pos="9350"/>
      </w:tabs>
      <w:spacing w:before="200" w:after="60"/>
      <w:ind w:left="0" w:firstLine="0"/>
    </w:pPr>
    <w:rPr>
      <w:rFonts w:ascii="Calibri" w:hAnsi="Calibri" w:eastAsia="微软雅黑"/>
      <w:b/>
      <w:color w:val="1E2A3A"/>
    </w:rPr>
  </w:style>
  <w:style w:type="paragraph" w:styleId="10">
    <w:name w:val="toc 2"/>
    <w:basedOn w:val="1"/>
    <w:qFormat/>
    <w:uiPriority w:val="0"/>
    <w:pPr>
      <w:tabs>
        <w:tab w:val="right" w:leader="dot" w:pos="9350"/>
      </w:tabs>
      <w:spacing w:before="60" w:after="60"/>
      <w:ind w:left="360" w:firstLine="0"/>
    </w:pPr>
    <w:rPr>
      <w:rFonts w:ascii="Calibri" w:hAnsi="Calibri" w:eastAsia="微软雅黑"/>
      <w:color w:val="4A556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2666</Words>
  <Characters>2712</Characters>
  <TotalTime>4</TotalTime>
  <ScaleCrop>false</ScaleCrop>
  <LinksUpToDate>false</LinksUpToDate>
  <CharactersWithSpaces>2751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2026-05-26T07:22:00Z</dcterms:created>
  <dc:creator>a</dc:creator>
  <cp:lastModifiedBy>崔Ying</cp:lastModifiedBy>
  <dcterms:modified xsi:type="dcterms:W3CDTF">2026-05-25T09:26:14Z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eyJoZGlkIjoiMzEwNTM5NzYwMDRjMzkwZTVkZjY2ODkwMGIxNGU0OTUiLCJ1c2VySWQiOiIzNTIzNjMyNjQifQ==</vt:lpwstr>
  </property>
  <property fmtid="{D5CDD505-2E9C-101B-9397-08002B2CF9AE}" pid="3" name="KSOProductBuildVer">
    <vt:lpwstr>2052-12.1.0.26375</vt:lpwstr>
  </property>
  <property fmtid="{D5CDD505-2E9C-101B-9397-08002B2CF9AE}" pid="4" name="ICV">
    <vt:lpwstr>DE2479CC9A6E36081111146AADA48D9C_43</vt:lpwstr>
  </property>
</Properties>
</file>